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1C272" w14:textId="77777777" w:rsidR="00980BE0" w:rsidRPr="00980BE0" w:rsidRDefault="00980BE0" w:rsidP="00980BE0">
      <w:pPr>
        <w:spacing w:line="480" w:lineRule="auto"/>
        <w:ind w:firstLine="720"/>
        <w:rPr>
          <w:rFonts w:ascii="Times New Roman" w:eastAsia="Times New Roman" w:hAnsi="Times New Roman" w:cs="Times New Roman"/>
          <w:color w:val="000000"/>
        </w:rPr>
      </w:pPr>
      <w:bookmarkStart w:id="0" w:name="_GoBack"/>
      <w:bookmarkEnd w:id="0"/>
      <w:r w:rsidRPr="00980BE0">
        <w:rPr>
          <w:rFonts w:ascii="Times New Roman" w:eastAsia="Times New Roman" w:hAnsi="Times New Roman" w:cs="Times New Roman"/>
          <w:color w:val="000000"/>
        </w:rPr>
        <w:t>UCC Article 2 governs contracts for the sale of goods, establishing clear rules for contract formation and defining the rights and duties of involved parties. These rules promote consistency and reliability for businesses nationwide. The UCC allows parties to modify terms for added flexibility, and when key terms are missing, default gap-filling provisions apply to ensure transactions proceed smoothly (Sousa, 2024).</w:t>
      </w:r>
    </w:p>
    <w:p w14:paraId="76CD935C" w14:textId="77777777" w:rsidR="00980BE0" w:rsidRDefault="00980BE0" w:rsidP="00980BE0">
      <w:pPr>
        <w:spacing w:line="480" w:lineRule="auto"/>
        <w:rPr>
          <w:rFonts w:ascii="Times New Roman" w:eastAsia="Times New Roman" w:hAnsi="Times New Roman" w:cs="Times New Roman"/>
          <w:color w:val="000000"/>
        </w:rPr>
      </w:pPr>
    </w:p>
    <w:p w14:paraId="479B2BAE" w14:textId="77777777" w:rsidR="00980BE0" w:rsidRPr="00980BE0" w:rsidRDefault="00980BE0" w:rsidP="00980BE0">
      <w:pPr>
        <w:spacing w:line="480" w:lineRule="auto"/>
        <w:ind w:firstLine="720"/>
        <w:rPr>
          <w:rFonts w:ascii="Times New Roman" w:eastAsia="Times New Roman" w:hAnsi="Times New Roman" w:cs="Times New Roman"/>
          <w:color w:val="000000"/>
        </w:rPr>
      </w:pPr>
      <w:r w:rsidRPr="00980BE0">
        <w:rPr>
          <w:rFonts w:ascii="Times New Roman" w:eastAsia="Times New Roman" w:hAnsi="Times New Roman" w:cs="Times New Roman"/>
          <w:color w:val="000000"/>
        </w:rPr>
        <w:t>Article 2 distinguishes between “Merchants” and “Non-Merchants,” holding merchants to higher standards due to their expertise and familiarity with trade practices. In the scenario with Barney (buyer) and Sally (seller), Sally, as a merchant, should be liable for the incomplete delivery of her products. Although she is not responsible for the explosion, she remains obligated to send another shipment of lollipops to Barney or issue a refund, as he has already paid and fulfilled his part of the contract. The transaction remained incomplete because the goods were lost in transit.</w:t>
      </w:r>
    </w:p>
    <w:p w14:paraId="26E78469" w14:textId="77777777" w:rsidR="00980BE0" w:rsidRDefault="00980BE0" w:rsidP="00980BE0">
      <w:pPr>
        <w:spacing w:line="480" w:lineRule="auto"/>
        <w:rPr>
          <w:rFonts w:ascii="Times New Roman" w:eastAsia="Times New Roman" w:hAnsi="Times New Roman" w:cs="Times New Roman"/>
          <w:color w:val="000000"/>
        </w:rPr>
      </w:pPr>
    </w:p>
    <w:p w14:paraId="1ACF6D97" w14:textId="77777777" w:rsidR="00980BE0" w:rsidRPr="00980BE0" w:rsidRDefault="00980BE0" w:rsidP="00980BE0">
      <w:pPr>
        <w:spacing w:line="480" w:lineRule="auto"/>
        <w:ind w:firstLine="720"/>
        <w:rPr>
          <w:rFonts w:ascii="Times New Roman" w:eastAsia="Times New Roman" w:hAnsi="Times New Roman" w:cs="Times New Roman"/>
          <w:color w:val="000000"/>
        </w:rPr>
      </w:pPr>
      <w:r w:rsidRPr="00980BE0">
        <w:rPr>
          <w:rFonts w:ascii="Times New Roman" w:eastAsia="Times New Roman" w:hAnsi="Times New Roman" w:cs="Times New Roman"/>
          <w:color w:val="000000"/>
        </w:rPr>
        <w:t>Even though there were no specific terms regarding delivery under UCC Article 2, the gap filling provisions fill in the absence of specific terms on delivery and places the responsibility with the seller. Once again, </w:t>
      </w:r>
      <w:r w:rsidRPr="00980BE0">
        <w:rPr>
          <w:rFonts w:ascii="Times New Roman" w:eastAsia="Times New Roman" w:hAnsi="Times New Roman" w:cs="Times New Roman"/>
          <w:i/>
          <w:iCs/>
          <w:color w:val="000000"/>
        </w:rPr>
        <w:t>“merchants are individuals or entities engaged in the sale of goods as part of their business, while non-merchants are regular buyers or sellers who do not engage in commercial trade as a profession.”</w:t>
      </w:r>
      <w:r w:rsidRPr="00980BE0">
        <w:rPr>
          <w:rFonts w:ascii="Times New Roman" w:eastAsia="Times New Roman" w:hAnsi="Times New Roman" w:cs="Times New Roman"/>
          <w:color w:val="000000"/>
        </w:rPr>
        <w:t> (Sousa, 2024).</w:t>
      </w:r>
    </w:p>
    <w:p w14:paraId="22ABEB3C" w14:textId="77777777" w:rsidR="00342F22" w:rsidRDefault="00342F22">
      <w:pPr>
        <w:rPr>
          <w:rFonts w:ascii="Times New Roman" w:hAnsi="Times New Roman" w:cs="Times New Roman"/>
        </w:rPr>
      </w:pPr>
      <w:r>
        <w:rPr>
          <w:rFonts w:ascii="Times New Roman" w:hAnsi="Times New Roman" w:cs="Times New Roman"/>
        </w:rPr>
        <w:br w:type="page"/>
      </w:r>
    </w:p>
    <w:p w14:paraId="386C2B2C" w14:textId="77777777" w:rsidR="003B7DA8" w:rsidRDefault="00342F22" w:rsidP="00342F22">
      <w:pPr>
        <w:spacing w:line="480" w:lineRule="auto"/>
        <w:ind w:left="2880" w:firstLine="720"/>
        <w:rPr>
          <w:rFonts w:ascii="Times New Roman" w:hAnsi="Times New Roman" w:cs="Times New Roman"/>
        </w:rPr>
      </w:pPr>
      <w:r>
        <w:rPr>
          <w:rFonts w:ascii="Times New Roman" w:hAnsi="Times New Roman" w:cs="Times New Roman"/>
        </w:rPr>
        <w:lastRenderedPageBreak/>
        <w:t>References</w:t>
      </w:r>
    </w:p>
    <w:p w14:paraId="28C110AD" w14:textId="77777777" w:rsidR="00342F22" w:rsidRDefault="00342F22" w:rsidP="00342F22">
      <w:pPr>
        <w:spacing w:line="480" w:lineRule="auto"/>
        <w:rPr>
          <w:rFonts w:ascii="Times New Roman" w:hAnsi="Times New Roman" w:cs="Times New Roman"/>
        </w:rPr>
      </w:pPr>
    </w:p>
    <w:p w14:paraId="11A98096" w14:textId="77777777" w:rsidR="00342F22" w:rsidRDefault="00342F22" w:rsidP="00342F22">
      <w:pPr>
        <w:pStyle w:val="NormalWeb"/>
        <w:spacing w:before="0" w:beforeAutospacing="0" w:after="0" w:afterAutospacing="0" w:line="480" w:lineRule="auto"/>
        <w:ind w:left="720" w:hanging="720"/>
      </w:pPr>
      <w:r>
        <w:t xml:space="preserve">Sousa, J. (2024, October 17). </w:t>
      </w:r>
      <w:r>
        <w:rPr>
          <w:i/>
          <w:iCs/>
        </w:rPr>
        <w:t xml:space="preserve">Uniform Commercial Code (“UCC”) Article 2 | </w:t>
      </w:r>
      <w:proofErr w:type="spellStart"/>
      <w:r>
        <w:rPr>
          <w:i/>
          <w:iCs/>
        </w:rPr>
        <w:t>DarrowEverett</w:t>
      </w:r>
      <w:proofErr w:type="spellEnd"/>
      <w:r>
        <w:t>. Darrow Everett LLP. https://darroweverett.com/ucc-article-2-rules-sale-goods-terms-warranties-remedies/</w:t>
      </w:r>
    </w:p>
    <w:p w14:paraId="2EB6B5C3" w14:textId="77777777" w:rsidR="00342F22" w:rsidRDefault="00342F22" w:rsidP="00342F22">
      <w:pPr>
        <w:spacing w:line="480" w:lineRule="auto"/>
        <w:rPr>
          <w:rFonts w:ascii="Times New Roman" w:hAnsi="Times New Roman" w:cs="Times New Roman"/>
        </w:rPr>
      </w:pPr>
    </w:p>
    <w:p w14:paraId="3267C751" w14:textId="77777777" w:rsidR="00D67167" w:rsidRPr="003B7DA8" w:rsidRDefault="00D67167" w:rsidP="008772CF">
      <w:pPr>
        <w:spacing w:line="480" w:lineRule="auto"/>
        <w:ind w:firstLine="720"/>
        <w:rPr>
          <w:rFonts w:ascii="Times New Roman" w:hAnsi="Times New Roman" w:cs="Times New Roman"/>
        </w:rPr>
      </w:pPr>
    </w:p>
    <w:sectPr w:rsidR="00D67167" w:rsidRPr="003B7DA8" w:rsidSect="00534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A8"/>
    <w:rsid w:val="001947AA"/>
    <w:rsid w:val="001A5B17"/>
    <w:rsid w:val="00305022"/>
    <w:rsid w:val="00342F22"/>
    <w:rsid w:val="003B7DA8"/>
    <w:rsid w:val="005340B8"/>
    <w:rsid w:val="008772CF"/>
    <w:rsid w:val="00980BE0"/>
    <w:rsid w:val="00A75D99"/>
    <w:rsid w:val="00D6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10F688"/>
  <w15:chartTrackingRefBased/>
  <w15:docId w15:val="{19F1FED3-5B5A-2146-A24E-2F1392B1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DA8"/>
    <w:rPr>
      <w:color w:val="0563C1" w:themeColor="hyperlink"/>
      <w:u w:val="single"/>
    </w:rPr>
  </w:style>
  <w:style w:type="character" w:styleId="UnresolvedMention">
    <w:name w:val="Unresolved Mention"/>
    <w:basedOn w:val="DefaultParagraphFont"/>
    <w:uiPriority w:val="99"/>
    <w:semiHidden/>
    <w:unhideWhenUsed/>
    <w:rsid w:val="003B7DA8"/>
    <w:rPr>
      <w:color w:val="605E5C"/>
      <w:shd w:val="clear" w:color="auto" w:fill="E1DFDD"/>
    </w:rPr>
  </w:style>
  <w:style w:type="paragraph" w:styleId="NormalWeb">
    <w:name w:val="Normal (Web)"/>
    <w:basedOn w:val="Normal"/>
    <w:uiPriority w:val="99"/>
    <w:semiHidden/>
    <w:unhideWhenUsed/>
    <w:rsid w:val="00342F2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80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465627">
      <w:bodyDiv w:val="1"/>
      <w:marLeft w:val="0"/>
      <w:marRight w:val="0"/>
      <w:marTop w:val="0"/>
      <w:marBottom w:val="0"/>
      <w:divBdr>
        <w:top w:val="none" w:sz="0" w:space="0" w:color="auto"/>
        <w:left w:val="none" w:sz="0" w:space="0" w:color="auto"/>
        <w:bottom w:val="none" w:sz="0" w:space="0" w:color="auto"/>
        <w:right w:val="none" w:sz="0" w:space="0" w:color="auto"/>
      </w:divBdr>
      <w:divsChild>
        <w:div w:id="575550749">
          <w:marLeft w:val="0"/>
          <w:marRight w:val="0"/>
          <w:marTop w:val="120"/>
          <w:marBottom w:val="120"/>
          <w:divBdr>
            <w:top w:val="none" w:sz="0" w:space="0" w:color="auto"/>
            <w:left w:val="none" w:sz="0" w:space="0" w:color="auto"/>
            <w:bottom w:val="none" w:sz="0" w:space="0" w:color="auto"/>
            <w:right w:val="none" w:sz="0" w:space="0" w:color="auto"/>
          </w:divBdr>
        </w:div>
        <w:div w:id="788352622">
          <w:marLeft w:val="0"/>
          <w:marRight w:val="0"/>
          <w:marTop w:val="120"/>
          <w:marBottom w:val="120"/>
          <w:divBdr>
            <w:top w:val="none" w:sz="0" w:space="0" w:color="auto"/>
            <w:left w:val="none" w:sz="0" w:space="0" w:color="auto"/>
            <w:bottom w:val="none" w:sz="0" w:space="0" w:color="auto"/>
            <w:right w:val="none" w:sz="0" w:space="0" w:color="auto"/>
          </w:divBdr>
        </w:div>
        <w:div w:id="1966110976">
          <w:marLeft w:val="0"/>
          <w:marRight w:val="0"/>
          <w:marTop w:val="120"/>
          <w:marBottom w:val="120"/>
          <w:divBdr>
            <w:top w:val="none" w:sz="0" w:space="0" w:color="auto"/>
            <w:left w:val="none" w:sz="0" w:space="0" w:color="auto"/>
            <w:bottom w:val="none" w:sz="0" w:space="0" w:color="auto"/>
            <w:right w:val="none" w:sz="0" w:space="0" w:color="auto"/>
          </w:divBdr>
        </w:div>
      </w:divsChild>
    </w:div>
    <w:div w:id="381834786">
      <w:bodyDiv w:val="1"/>
      <w:marLeft w:val="0"/>
      <w:marRight w:val="0"/>
      <w:marTop w:val="0"/>
      <w:marBottom w:val="0"/>
      <w:divBdr>
        <w:top w:val="none" w:sz="0" w:space="0" w:color="auto"/>
        <w:left w:val="none" w:sz="0" w:space="0" w:color="auto"/>
        <w:bottom w:val="none" w:sz="0" w:space="0" w:color="auto"/>
        <w:right w:val="none" w:sz="0" w:space="0" w:color="auto"/>
      </w:divBdr>
    </w:div>
    <w:div w:id="593440538">
      <w:bodyDiv w:val="1"/>
      <w:marLeft w:val="0"/>
      <w:marRight w:val="0"/>
      <w:marTop w:val="0"/>
      <w:marBottom w:val="0"/>
      <w:divBdr>
        <w:top w:val="none" w:sz="0" w:space="0" w:color="auto"/>
        <w:left w:val="none" w:sz="0" w:space="0" w:color="auto"/>
        <w:bottom w:val="none" w:sz="0" w:space="0" w:color="auto"/>
        <w:right w:val="none" w:sz="0" w:space="0" w:color="auto"/>
      </w:divBdr>
      <w:divsChild>
        <w:div w:id="1094519032">
          <w:marLeft w:val="-720"/>
          <w:marRight w:val="0"/>
          <w:marTop w:val="0"/>
          <w:marBottom w:val="0"/>
          <w:divBdr>
            <w:top w:val="none" w:sz="0" w:space="0" w:color="auto"/>
            <w:left w:val="none" w:sz="0" w:space="0" w:color="auto"/>
            <w:bottom w:val="none" w:sz="0" w:space="0" w:color="auto"/>
            <w:right w:val="none" w:sz="0" w:space="0" w:color="auto"/>
          </w:divBdr>
        </w:div>
      </w:divsChild>
    </w:div>
    <w:div w:id="1544245762">
      <w:bodyDiv w:val="1"/>
      <w:marLeft w:val="0"/>
      <w:marRight w:val="0"/>
      <w:marTop w:val="0"/>
      <w:marBottom w:val="0"/>
      <w:divBdr>
        <w:top w:val="none" w:sz="0" w:space="0" w:color="auto"/>
        <w:left w:val="none" w:sz="0" w:space="0" w:color="auto"/>
        <w:bottom w:val="none" w:sz="0" w:space="0" w:color="auto"/>
        <w:right w:val="none" w:sz="0" w:space="0" w:color="auto"/>
      </w:divBdr>
      <w:divsChild>
        <w:div w:id="1218542813">
          <w:marLeft w:val="-720"/>
          <w:marRight w:val="0"/>
          <w:marTop w:val="0"/>
          <w:marBottom w:val="0"/>
          <w:divBdr>
            <w:top w:val="none" w:sz="0" w:space="0" w:color="auto"/>
            <w:left w:val="none" w:sz="0" w:space="0" w:color="auto"/>
            <w:bottom w:val="none" w:sz="0" w:space="0" w:color="auto"/>
            <w:right w:val="none" w:sz="0" w:space="0" w:color="auto"/>
          </w:divBdr>
        </w:div>
      </w:divsChild>
    </w:div>
    <w:div w:id="173496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2025-11-06T22:15:00Z</dcterms:created>
  <dcterms:modified xsi:type="dcterms:W3CDTF">2025-11-06T22:15:00Z</dcterms:modified>
</cp:coreProperties>
</file>