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6B7" w:rsidRPr="004256B7" w:rsidRDefault="004256B7">
      <w:pPr>
        <w:rPr>
          <w:rFonts w:ascii="Times New Roman" w:hAnsi="Times New Roman" w:cs="Times New Roman"/>
          <w:b/>
        </w:rPr>
      </w:pPr>
      <w:r w:rsidRPr="004256B7">
        <w:rPr>
          <w:rFonts w:ascii="Times New Roman" w:hAnsi="Times New Roman" w:cs="Times New Roman"/>
          <w:b/>
        </w:rPr>
        <w:t>Is proof of the necessary “ove</w:t>
      </w:r>
      <w:bookmarkStart w:id="0" w:name="_GoBack"/>
      <w:bookmarkEnd w:id="0"/>
      <w:r w:rsidRPr="004256B7">
        <w:rPr>
          <w:rFonts w:ascii="Times New Roman" w:hAnsi="Times New Roman" w:cs="Times New Roman"/>
          <w:b/>
        </w:rPr>
        <w:t>rt act” in conspiracy prosecutions easier or harder than proof of the necessary “substantial step” in prosecutions for attempted offenses?</w:t>
      </w:r>
    </w:p>
    <w:p w:rsidR="004256B7" w:rsidRDefault="004256B7">
      <w:pPr>
        <w:rPr>
          <w:rFonts w:ascii="Times New Roman" w:hAnsi="Times New Roman" w:cs="Times New Roman"/>
        </w:rPr>
      </w:pPr>
    </w:p>
    <w:p w:rsidR="004256B7" w:rsidRDefault="004256B7" w:rsidP="004256B7">
      <w:pPr>
        <w:spacing w:line="480" w:lineRule="auto"/>
        <w:rPr>
          <w:rFonts w:ascii="Times New Roman" w:hAnsi="Times New Roman" w:cs="Times New Roman"/>
        </w:rPr>
      </w:pPr>
      <w:r>
        <w:rPr>
          <w:rFonts w:ascii="Times New Roman" w:hAnsi="Times New Roman" w:cs="Times New Roman"/>
        </w:rPr>
        <w:tab/>
      </w:r>
      <w:r w:rsidRPr="004256B7">
        <w:rPr>
          <w:rFonts w:ascii="Times New Roman" w:hAnsi="Times New Roman" w:cs="Times New Roman"/>
        </w:rPr>
        <w:t xml:space="preserve">In conspiracy prosecutions, proving the existence of an overt act is often straightforward, as the act may be either legal or illegal. For instance, arranging for someone to serve as a getaway driver in a planned bank robbery constitutes sufficient evidence of conspiracy, even if the crime itself has not yet been carried out. </w:t>
      </w:r>
      <w:r w:rsidRPr="004256B7">
        <w:rPr>
          <w:rFonts w:ascii="Times New Roman" w:hAnsi="Times New Roman" w:cs="Times New Roman"/>
          <w:i/>
        </w:rPr>
        <w:t>“There must be evidence of an overt act taken to further the conspiracy, and this act doesn’t need to be illegal in and of itself, but it must be related to the conspiracy”</w:t>
      </w:r>
      <w:r w:rsidRPr="004256B7">
        <w:t xml:space="preserve"> </w:t>
      </w:r>
      <w:r w:rsidRPr="004256B7">
        <w:rPr>
          <w:rFonts w:ascii="Times New Roman" w:hAnsi="Times New Roman" w:cs="Times New Roman"/>
          <w:i/>
        </w:rPr>
        <w:t>(King Law Group, 2021)</w:t>
      </w:r>
      <w:r w:rsidRPr="004256B7">
        <w:rPr>
          <w:rFonts w:ascii="Times New Roman" w:hAnsi="Times New Roman" w:cs="Times New Roman"/>
        </w:rPr>
        <w:t>.</w:t>
      </w:r>
      <w:r>
        <w:rPr>
          <w:rFonts w:ascii="Times New Roman" w:hAnsi="Times New Roman" w:cs="Times New Roman"/>
        </w:rPr>
        <w:t xml:space="preserve"> </w:t>
      </w:r>
      <w:r w:rsidRPr="004256B7">
        <w:rPr>
          <w:rFonts w:ascii="Times New Roman" w:hAnsi="Times New Roman" w:cs="Times New Roman"/>
        </w:rPr>
        <w:t>Prosecution is often easier in certain federal conspiracy cases because proof of an overt act is not always required, whereas an attempt necessitates demonstrating that a substantial step toward the commission of the crime was taken.</w:t>
      </w:r>
      <w:r w:rsidRPr="004256B7">
        <w:t xml:space="preserve"> </w:t>
      </w:r>
      <w:r>
        <w:t>“</w:t>
      </w:r>
      <w:r w:rsidRPr="004256B7">
        <w:rPr>
          <w:rFonts w:ascii="Times New Roman" w:hAnsi="Times New Roman" w:cs="Times New Roman"/>
          <w:i/>
        </w:rPr>
        <w:t>Attempt consists of two elements. One is the intent to commit the underlying offense. The other is taking some substantial step, beyond mere preparation, collaborative of the intent to commit the underlying offense.</w:t>
      </w:r>
      <w:r>
        <w:rPr>
          <w:rFonts w:ascii="Times New Roman" w:hAnsi="Times New Roman" w:cs="Times New Roman"/>
          <w:i/>
        </w:rPr>
        <w:t>”</w:t>
      </w:r>
      <w:r w:rsidRPr="004256B7">
        <w:t xml:space="preserve"> </w:t>
      </w:r>
      <w:r w:rsidRPr="004256B7">
        <w:rPr>
          <w:rFonts w:ascii="Times New Roman" w:hAnsi="Times New Roman" w:cs="Times New Roman"/>
          <w:i/>
        </w:rPr>
        <w:t>The line between mere preparation and a substantial step can be hard to identify.</w:t>
      </w:r>
      <w:r w:rsidRPr="004256B7">
        <w:t xml:space="preserve"> </w:t>
      </w:r>
      <w:r w:rsidRPr="004256B7">
        <w:rPr>
          <w:rFonts w:ascii="Times New Roman" w:hAnsi="Times New Roman" w:cs="Times New Roman"/>
        </w:rPr>
        <w:t>(Doyle, 2025)</w:t>
      </w:r>
      <w:r>
        <w:rPr>
          <w:rFonts w:ascii="Times New Roman" w:hAnsi="Times New Roman" w:cs="Times New Roman"/>
        </w:rPr>
        <w:t xml:space="preserve">. </w:t>
      </w:r>
      <w:r w:rsidRPr="004256B7">
        <w:rPr>
          <w:rFonts w:ascii="Times New Roman" w:hAnsi="Times New Roman" w:cs="Times New Roman"/>
        </w:rPr>
        <w:t xml:space="preserve">Establishing proof of a substantial step is more difficult because an individual may begin the process of committing a crime but abandon it before completion. For example, in the case of an attempted robbery, the prosecution must demonstrate that the defendant took concrete actions toward robbing the bank. The critical question then becomes: what specific conduct qualifies as the substantial step that transforms mere preparation into an attempt? </w:t>
      </w:r>
      <w:r>
        <w:t>“</w:t>
      </w:r>
      <w:r w:rsidRPr="004256B7">
        <w:rPr>
          <w:rFonts w:ascii="Times New Roman" w:hAnsi="Times New Roman" w:cs="Times New Roman"/>
          <w:i/>
        </w:rPr>
        <w:t>Defenses are few and rarely recognized. Impossibility to complete an attempted offense offers no real obstacle to conviction. Abandonment of the effort once the substantial step line has been crossed is no defense. Entrapment may be a valid defense when the government has induced commission of the crime and the defendant lacks predisposition to engage in the criminal conduct.</w:t>
      </w:r>
      <w:r>
        <w:rPr>
          <w:rFonts w:ascii="Times New Roman" w:hAnsi="Times New Roman" w:cs="Times New Roman"/>
          <w:i/>
        </w:rPr>
        <w:t>”</w:t>
      </w:r>
      <w:r w:rsidRPr="004256B7">
        <w:t xml:space="preserve"> </w:t>
      </w:r>
      <w:r w:rsidRPr="004256B7">
        <w:rPr>
          <w:rFonts w:ascii="Times New Roman" w:hAnsi="Times New Roman" w:cs="Times New Roman"/>
        </w:rPr>
        <w:t>(Doyle, 2025)</w:t>
      </w:r>
      <w:r>
        <w:rPr>
          <w:rFonts w:ascii="Times New Roman" w:hAnsi="Times New Roman" w:cs="Times New Roman"/>
        </w:rPr>
        <w:t>.</w:t>
      </w:r>
    </w:p>
    <w:p w:rsidR="004256B7" w:rsidRDefault="004256B7" w:rsidP="004256B7">
      <w:pPr>
        <w:spacing w:line="480" w:lineRule="auto"/>
        <w:rPr>
          <w:rFonts w:ascii="Times New Roman" w:hAnsi="Times New Roman" w:cs="Times New Roman"/>
        </w:rPr>
      </w:pPr>
    </w:p>
    <w:p w:rsidR="004256B7" w:rsidRDefault="004256B7">
      <w:pPr>
        <w:rPr>
          <w:rFonts w:ascii="Times New Roman" w:hAnsi="Times New Roman" w:cs="Times New Roman"/>
        </w:rPr>
      </w:pPr>
    </w:p>
    <w:p w:rsidR="004256B7" w:rsidRDefault="004256B7">
      <w:pPr>
        <w:rPr>
          <w:rFonts w:ascii="Times New Roman" w:hAnsi="Times New Roman" w:cs="Times New Roman"/>
        </w:rPr>
      </w:pPr>
    </w:p>
    <w:p w:rsidR="004256B7" w:rsidRPr="004256B7" w:rsidRDefault="004256B7">
      <w:pPr>
        <w:rPr>
          <w:rFonts w:ascii="Times New Roman" w:hAnsi="Times New Roman" w:cs="Times New Roman"/>
          <w:b/>
        </w:rPr>
      </w:pPr>
      <w:r w:rsidRPr="004256B7">
        <w:rPr>
          <w:rFonts w:ascii="Times New Roman" w:hAnsi="Times New Roman" w:cs="Times New Roman"/>
          <w:b/>
        </w:rPr>
        <w:t>Collier v. State, 846 N.E.2d 340 (Ind. App. 2006)</w:t>
      </w:r>
    </w:p>
    <w:p w:rsidR="004256B7" w:rsidRDefault="004256B7">
      <w:pPr>
        <w:rPr>
          <w:rFonts w:ascii="Times New Roman" w:hAnsi="Times New Roman" w:cs="Times New Roman"/>
        </w:rPr>
      </w:pPr>
    </w:p>
    <w:p w:rsidR="004256B7" w:rsidRDefault="004256B7" w:rsidP="004256B7">
      <w:pPr>
        <w:spacing w:line="480" w:lineRule="auto"/>
        <w:ind w:firstLine="720"/>
        <w:rPr>
          <w:rFonts w:ascii="Times New Roman" w:hAnsi="Times New Roman" w:cs="Times New Roman"/>
        </w:rPr>
      </w:pPr>
      <w:r w:rsidRPr="004256B7">
        <w:rPr>
          <w:rFonts w:ascii="Times New Roman" w:hAnsi="Times New Roman" w:cs="Times New Roman"/>
        </w:rPr>
        <w:t>In this case, Mark E. Collier—who had been separated from his wife and was later divorced by her—expressed to his friend and neighbor, Mr. Cameron, that he intended to kill his ex</w:t>
      </w:r>
      <w:r w:rsidRPr="004256B7">
        <w:rPr>
          <w:rFonts w:ascii="Cambria Math" w:hAnsi="Cambria Math" w:cs="Cambria Math"/>
        </w:rPr>
        <w:t>‑</w:t>
      </w:r>
      <w:r w:rsidRPr="004256B7">
        <w:rPr>
          <w:rFonts w:ascii="Times New Roman" w:hAnsi="Times New Roman" w:cs="Times New Roman"/>
        </w:rPr>
        <w:t>wife and then himself. He gathered items such as an ice pick, a box cutter, and binoculars in preparation for the planned attack. Collier then drove to his ex</w:t>
      </w:r>
      <w:r w:rsidRPr="004256B7">
        <w:rPr>
          <w:rFonts w:ascii="Cambria Math" w:hAnsi="Cambria Math" w:cs="Cambria Math"/>
        </w:rPr>
        <w:t>‑</w:t>
      </w:r>
      <w:r w:rsidRPr="004256B7">
        <w:rPr>
          <w:rFonts w:ascii="Times New Roman" w:hAnsi="Times New Roman" w:cs="Times New Roman"/>
        </w:rPr>
        <w:t>wife’s workplace at the hospital, where he waited in the parking lot but ultimately fell asleep, likely due to intoxication. Police discovered him there and initially charged him with public intoxication and breach of a protection order, as he was prohibited from being at her workplace. An attempted</w:t>
      </w:r>
      <w:r w:rsidRPr="004256B7">
        <w:rPr>
          <w:rFonts w:ascii="Cambria Math" w:hAnsi="Cambria Math" w:cs="Cambria Math"/>
        </w:rPr>
        <w:t>‑</w:t>
      </w:r>
      <w:r w:rsidRPr="004256B7">
        <w:rPr>
          <w:rFonts w:ascii="Times New Roman" w:hAnsi="Times New Roman" w:cs="Times New Roman"/>
        </w:rPr>
        <w:t>murder charge followed. However, the attempted</w:t>
      </w:r>
      <w:r w:rsidRPr="004256B7">
        <w:rPr>
          <w:rFonts w:ascii="Cambria Math" w:hAnsi="Cambria Math" w:cs="Cambria Math"/>
        </w:rPr>
        <w:t>‑</w:t>
      </w:r>
      <w:r w:rsidRPr="004256B7">
        <w:rPr>
          <w:rFonts w:ascii="Times New Roman" w:hAnsi="Times New Roman" w:cs="Times New Roman"/>
        </w:rPr>
        <w:t>murder conviction was later overturned because Collier argued that his actions amounted only to preparation, not a substantial step toward committing the crime. The Court of Appeals agreed, concluding that the evidence did not strongly corroborate a firm intent to kill</w:t>
      </w:r>
      <w:r>
        <w:rPr>
          <w:rFonts w:ascii="Times New Roman" w:hAnsi="Times New Roman" w:cs="Times New Roman"/>
        </w:rPr>
        <w:t>.</w:t>
      </w:r>
    </w:p>
    <w:p w:rsidR="004256B7" w:rsidRDefault="004256B7">
      <w:pPr>
        <w:rPr>
          <w:rFonts w:ascii="Times New Roman" w:hAnsi="Times New Roman" w:cs="Times New Roman"/>
        </w:rPr>
      </w:pPr>
    </w:p>
    <w:p w:rsidR="004256B7" w:rsidRDefault="004256B7">
      <w:pPr>
        <w:rPr>
          <w:rFonts w:ascii="Times New Roman" w:hAnsi="Times New Roman" w:cs="Times New Roman"/>
        </w:rPr>
      </w:pPr>
    </w:p>
    <w:p w:rsidR="004256B7" w:rsidRDefault="004256B7">
      <w:pPr>
        <w:rPr>
          <w:rFonts w:ascii="Times New Roman" w:hAnsi="Times New Roman" w:cs="Times New Roman"/>
          <w:b/>
        </w:rPr>
      </w:pPr>
      <w:r w:rsidRPr="004256B7">
        <w:rPr>
          <w:rFonts w:ascii="Times New Roman" w:hAnsi="Times New Roman" w:cs="Times New Roman"/>
          <w:b/>
        </w:rPr>
        <w:t>Conn. v. State, 948 N.E.2d 849 (Ind. App. 2011)</w:t>
      </w:r>
    </w:p>
    <w:p w:rsidR="004256B7" w:rsidRDefault="004256B7">
      <w:pPr>
        <w:rPr>
          <w:rFonts w:ascii="Times New Roman" w:hAnsi="Times New Roman" w:cs="Times New Roman"/>
          <w:b/>
        </w:rPr>
      </w:pPr>
    </w:p>
    <w:p w:rsidR="004256B7" w:rsidRDefault="004256B7" w:rsidP="004256B7">
      <w:pPr>
        <w:spacing w:line="480" w:lineRule="auto"/>
        <w:ind w:firstLine="720"/>
        <w:rPr>
          <w:rFonts w:ascii="Times New Roman" w:hAnsi="Times New Roman" w:cs="Times New Roman"/>
        </w:rPr>
      </w:pPr>
      <w:r w:rsidRPr="004256B7">
        <w:rPr>
          <w:rFonts w:ascii="Times New Roman" w:hAnsi="Times New Roman" w:cs="Times New Roman"/>
        </w:rPr>
        <w:t>In this case, Lloyd Conn and his father, Bill, conspired to kill Stacey, an informant who had assisted Indiana police in securing Bill’s conviction. Bill and Lloyd agreed to eliminate Stacey so she could not testify against him, and they involved Lloyd’s friend, Anthony King, as well as Lloyd’s sister, Barbara. King was present for numerous conversations about the plan to murder Stacey and even warned her during a bond</w:t>
      </w:r>
      <w:r w:rsidRPr="004256B7">
        <w:rPr>
          <w:rFonts w:ascii="Cambria Math" w:hAnsi="Cambria Math" w:cs="Cambria Math"/>
        </w:rPr>
        <w:t>‑</w:t>
      </w:r>
      <w:r w:rsidRPr="004256B7">
        <w:rPr>
          <w:rFonts w:ascii="Times New Roman" w:hAnsi="Times New Roman" w:cs="Times New Roman"/>
        </w:rPr>
        <w:t xml:space="preserve">reduction hearing—a statement overheard by Lieutenant Kenneth Murphy. King later provided Murphy with a detailed account of the conspiracy and subsequently gave a formal recorded statement. Lloyd Conn was charged with conspiracy to commit murder and later appealed, arguing that the evidence was insufficient to </w:t>
      </w:r>
      <w:r w:rsidRPr="004256B7">
        <w:rPr>
          <w:rFonts w:ascii="Times New Roman" w:hAnsi="Times New Roman" w:cs="Times New Roman"/>
        </w:rPr>
        <w:lastRenderedPageBreak/>
        <w:t>support his conviction. The Court of Appeals rejected his claim, and his sentence of forty</w:t>
      </w:r>
      <w:r w:rsidRPr="004256B7">
        <w:rPr>
          <w:rFonts w:ascii="Cambria Math" w:hAnsi="Cambria Math" w:cs="Cambria Math"/>
        </w:rPr>
        <w:t>‑</w:t>
      </w:r>
      <w:r w:rsidRPr="004256B7">
        <w:rPr>
          <w:rFonts w:ascii="Times New Roman" w:hAnsi="Times New Roman" w:cs="Times New Roman"/>
        </w:rPr>
        <w:t>five years in the Department of Correction, with five years suspended to probation, was upheld.</w:t>
      </w:r>
      <w:r>
        <w:rPr>
          <w:rFonts w:ascii="Times New Roman" w:hAnsi="Times New Roman" w:cs="Times New Roman"/>
        </w:rPr>
        <w:t xml:space="preserve"> </w:t>
      </w:r>
    </w:p>
    <w:p w:rsidR="004256B7" w:rsidRDefault="004256B7" w:rsidP="004256B7">
      <w:pPr>
        <w:ind w:firstLine="720"/>
        <w:rPr>
          <w:rFonts w:ascii="Times New Roman" w:hAnsi="Times New Roman" w:cs="Times New Roman"/>
        </w:rPr>
      </w:pPr>
    </w:p>
    <w:p w:rsidR="004256B7" w:rsidRDefault="004256B7" w:rsidP="004256B7">
      <w:pPr>
        <w:ind w:firstLine="720"/>
        <w:rPr>
          <w:rFonts w:ascii="Times New Roman" w:hAnsi="Times New Roman" w:cs="Times New Roman"/>
        </w:rPr>
      </w:pPr>
    </w:p>
    <w:p w:rsidR="004256B7" w:rsidRDefault="004256B7" w:rsidP="004256B7">
      <w:pPr>
        <w:ind w:firstLine="720"/>
        <w:rPr>
          <w:rFonts w:ascii="Times New Roman" w:hAnsi="Times New Roman" w:cs="Times New Roman"/>
        </w:rPr>
      </w:pPr>
    </w:p>
    <w:p w:rsidR="004256B7" w:rsidRDefault="004256B7" w:rsidP="004256B7">
      <w:pPr>
        <w:ind w:firstLine="720"/>
        <w:rPr>
          <w:rFonts w:ascii="Times New Roman" w:hAnsi="Times New Roman" w:cs="Times New Roman"/>
          <w:b/>
        </w:rPr>
      </w:pPr>
      <w:r w:rsidRPr="004256B7">
        <w:rPr>
          <w:rFonts w:ascii="Times New Roman" w:hAnsi="Times New Roman" w:cs="Times New Roman"/>
        </w:rPr>
        <w:t>Unlike Collier v. State, this case involved substantial evidence of overt actions taken to advance the criminal plan—for example, repeatedly surveilling what they believed to be Stacey’s mobile home.</w:t>
      </w:r>
    </w:p>
    <w:p w:rsidR="004256B7" w:rsidRDefault="004256B7">
      <w:pPr>
        <w:rPr>
          <w:rFonts w:ascii="Times New Roman" w:hAnsi="Times New Roman" w:cs="Times New Roman"/>
          <w:b/>
        </w:rPr>
      </w:pPr>
    </w:p>
    <w:p w:rsidR="004256B7" w:rsidRDefault="004256B7">
      <w:pPr>
        <w:rPr>
          <w:rFonts w:ascii="Times New Roman" w:hAnsi="Times New Roman" w:cs="Times New Roman"/>
          <w:b/>
        </w:rPr>
      </w:pPr>
    </w:p>
    <w:p w:rsidR="004256B7" w:rsidRDefault="004256B7">
      <w:pPr>
        <w:rPr>
          <w:rFonts w:ascii="Times New Roman" w:hAnsi="Times New Roman" w:cs="Times New Roman"/>
          <w:b/>
        </w:rPr>
      </w:pPr>
    </w:p>
    <w:p w:rsidR="004256B7" w:rsidRDefault="004256B7">
      <w:pPr>
        <w:rPr>
          <w:rFonts w:ascii="Times New Roman" w:hAnsi="Times New Roman" w:cs="Times New Roman"/>
          <w:b/>
        </w:rPr>
      </w:pPr>
    </w:p>
    <w:p w:rsidR="004256B7" w:rsidRDefault="004256B7">
      <w:pPr>
        <w:rPr>
          <w:rFonts w:ascii="Times New Roman" w:hAnsi="Times New Roman" w:cs="Times New Roman"/>
          <w:b/>
        </w:rPr>
      </w:pPr>
    </w:p>
    <w:p w:rsidR="004256B7" w:rsidRDefault="004256B7">
      <w:pPr>
        <w:rPr>
          <w:rFonts w:ascii="Times New Roman" w:hAnsi="Times New Roman" w:cs="Times New Roman"/>
          <w:b/>
        </w:rPr>
      </w:pPr>
    </w:p>
    <w:p w:rsidR="004256B7" w:rsidRDefault="004256B7">
      <w:pPr>
        <w:rPr>
          <w:rFonts w:ascii="Times New Roman" w:hAnsi="Times New Roman" w:cs="Times New Roman"/>
          <w:b/>
        </w:rPr>
      </w:pPr>
    </w:p>
    <w:p w:rsidR="004256B7" w:rsidRDefault="004256B7">
      <w:pPr>
        <w:rPr>
          <w:rFonts w:ascii="Times New Roman" w:hAnsi="Times New Roman" w:cs="Times New Roman"/>
          <w:b/>
        </w:rPr>
      </w:pPr>
    </w:p>
    <w:p w:rsidR="004256B7" w:rsidRDefault="004256B7">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4256B7" w:rsidRDefault="004256B7">
      <w:pPr>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p>
    <w:p w:rsidR="004256B7" w:rsidRDefault="004256B7" w:rsidP="004256B7">
      <w:pPr>
        <w:ind w:left="2880" w:firstLine="720"/>
        <w:rPr>
          <w:rFonts w:ascii="Times New Roman" w:hAnsi="Times New Roman" w:cs="Times New Roman"/>
          <w:b/>
        </w:rPr>
      </w:pPr>
      <w:r>
        <w:rPr>
          <w:rFonts w:ascii="Times New Roman" w:hAnsi="Times New Roman" w:cs="Times New Roman"/>
          <w:b/>
        </w:rPr>
        <w:t>References</w:t>
      </w:r>
    </w:p>
    <w:p w:rsidR="004256B7" w:rsidRDefault="004256B7">
      <w:pPr>
        <w:rPr>
          <w:rFonts w:ascii="Times New Roman" w:hAnsi="Times New Roman" w:cs="Times New Roman"/>
          <w:b/>
        </w:rPr>
      </w:pPr>
    </w:p>
    <w:p w:rsidR="004256B7" w:rsidRDefault="004256B7">
      <w:pPr>
        <w:rPr>
          <w:rFonts w:ascii="Times New Roman" w:hAnsi="Times New Roman" w:cs="Times New Roman"/>
          <w:b/>
        </w:rPr>
      </w:pPr>
    </w:p>
    <w:p w:rsidR="004256B7" w:rsidRDefault="004256B7">
      <w:pPr>
        <w:rPr>
          <w:rFonts w:ascii="Times New Roman" w:hAnsi="Times New Roman" w:cs="Times New Roman"/>
          <w:b/>
        </w:rPr>
      </w:pPr>
    </w:p>
    <w:p w:rsidR="004256B7" w:rsidRDefault="004256B7">
      <w:pPr>
        <w:rPr>
          <w:rFonts w:ascii="Times New Roman" w:hAnsi="Times New Roman" w:cs="Times New Roman"/>
          <w:b/>
        </w:rPr>
      </w:pPr>
    </w:p>
    <w:p w:rsidR="004256B7" w:rsidRDefault="004256B7" w:rsidP="004256B7">
      <w:pPr>
        <w:pStyle w:val="NormalWeb"/>
        <w:spacing w:before="0" w:beforeAutospacing="0" w:after="0" w:afterAutospacing="0" w:line="480" w:lineRule="auto"/>
        <w:ind w:left="720" w:hanging="720"/>
      </w:pPr>
      <w:r>
        <w:t xml:space="preserve">Doyle, C. (2025). </w:t>
      </w:r>
      <w:r>
        <w:rPr>
          <w:i/>
          <w:iCs/>
        </w:rPr>
        <w:t>Attempt: An Overview of Federal Criminal Law</w:t>
      </w:r>
      <w:r>
        <w:t>. Congress.gov. https://www.congress.gov/crs-product/R42001</w:t>
      </w:r>
    </w:p>
    <w:p w:rsidR="004256B7" w:rsidRDefault="004256B7">
      <w:pPr>
        <w:rPr>
          <w:rFonts w:ascii="Times New Roman" w:hAnsi="Times New Roman" w:cs="Times New Roman"/>
        </w:rPr>
      </w:pPr>
    </w:p>
    <w:p w:rsidR="004256B7" w:rsidRDefault="004256B7">
      <w:pPr>
        <w:rPr>
          <w:rFonts w:ascii="Times New Roman" w:hAnsi="Times New Roman" w:cs="Times New Roman"/>
        </w:rPr>
      </w:pPr>
    </w:p>
    <w:p w:rsidR="004256B7" w:rsidRDefault="004256B7">
      <w:pPr>
        <w:rPr>
          <w:rFonts w:ascii="Times New Roman" w:hAnsi="Times New Roman" w:cs="Times New Roman"/>
        </w:rPr>
      </w:pPr>
    </w:p>
    <w:p w:rsidR="004256B7" w:rsidRDefault="004256B7" w:rsidP="004256B7">
      <w:pPr>
        <w:pStyle w:val="NormalWeb"/>
        <w:spacing w:before="0" w:beforeAutospacing="0" w:after="0" w:afterAutospacing="0" w:line="480" w:lineRule="auto"/>
        <w:ind w:left="720" w:hanging="720"/>
      </w:pPr>
      <w:r>
        <w:rPr>
          <w:i/>
          <w:iCs/>
        </w:rPr>
        <w:t>King Law Group</w:t>
      </w:r>
      <w:r>
        <w:t>. (2021). King Law Group. https://www.tampabaydefenselawyer.com/elements-to-proving-conspiracy/</w:t>
      </w:r>
    </w:p>
    <w:p w:rsidR="004256B7" w:rsidRPr="004256B7" w:rsidRDefault="004256B7">
      <w:pPr>
        <w:rPr>
          <w:rFonts w:ascii="Times New Roman" w:hAnsi="Times New Roman" w:cs="Times New Roman"/>
        </w:rPr>
      </w:pPr>
    </w:p>
    <w:sectPr w:rsidR="004256B7" w:rsidRPr="004256B7" w:rsidSect="00401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B7"/>
    <w:rsid w:val="0040135E"/>
    <w:rsid w:val="00425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176D69"/>
  <w15:chartTrackingRefBased/>
  <w15:docId w15:val="{B5EBA4FA-0203-944C-BD81-982AAC8D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56B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79904">
      <w:bodyDiv w:val="1"/>
      <w:marLeft w:val="0"/>
      <w:marRight w:val="0"/>
      <w:marTop w:val="0"/>
      <w:marBottom w:val="0"/>
      <w:divBdr>
        <w:top w:val="none" w:sz="0" w:space="0" w:color="auto"/>
        <w:left w:val="none" w:sz="0" w:space="0" w:color="auto"/>
        <w:bottom w:val="none" w:sz="0" w:space="0" w:color="auto"/>
        <w:right w:val="none" w:sz="0" w:space="0" w:color="auto"/>
      </w:divBdr>
    </w:div>
    <w:div w:id="300773363">
      <w:bodyDiv w:val="1"/>
      <w:marLeft w:val="0"/>
      <w:marRight w:val="0"/>
      <w:marTop w:val="0"/>
      <w:marBottom w:val="0"/>
      <w:divBdr>
        <w:top w:val="none" w:sz="0" w:space="0" w:color="auto"/>
        <w:left w:val="none" w:sz="0" w:space="0" w:color="auto"/>
        <w:bottom w:val="none" w:sz="0" w:space="0" w:color="auto"/>
        <w:right w:val="none" w:sz="0" w:space="0" w:color="auto"/>
      </w:divBdr>
    </w:div>
    <w:div w:id="639963778">
      <w:bodyDiv w:val="1"/>
      <w:marLeft w:val="0"/>
      <w:marRight w:val="0"/>
      <w:marTop w:val="0"/>
      <w:marBottom w:val="0"/>
      <w:divBdr>
        <w:top w:val="none" w:sz="0" w:space="0" w:color="auto"/>
        <w:left w:val="none" w:sz="0" w:space="0" w:color="auto"/>
        <w:bottom w:val="none" w:sz="0" w:space="0" w:color="auto"/>
        <w:right w:val="none" w:sz="0" w:space="0" w:color="auto"/>
      </w:divBdr>
    </w:div>
    <w:div w:id="877664144">
      <w:bodyDiv w:val="1"/>
      <w:marLeft w:val="0"/>
      <w:marRight w:val="0"/>
      <w:marTop w:val="0"/>
      <w:marBottom w:val="0"/>
      <w:divBdr>
        <w:top w:val="none" w:sz="0" w:space="0" w:color="auto"/>
        <w:left w:val="none" w:sz="0" w:space="0" w:color="auto"/>
        <w:bottom w:val="none" w:sz="0" w:space="0" w:color="auto"/>
        <w:right w:val="none" w:sz="0" w:space="0" w:color="auto"/>
      </w:divBdr>
    </w:div>
    <w:div w:id="929895724">
      <w:bodyDiv w:val="1"/>
      <w:marLeft w:val="0"/>
      <w:marRight w:val="0"/>
      <w:marTop w:val="0"/>
      <w:marBottom w:val="0"/>
      <w:divBdr>
        <w:top w:val="none" w:sz="0" w:space="0" w:color="auto"/>
        <w:left w:val="none" w:sz="0" w:space="0" w:color="auto"/>
        <w:bottom w:val="none" w:sz="0" w:space="0" w:color="auto"/>
        <w:right w:val="none" w:sz="0" w:space="0" w:color="auto"/>
      </w:divBdr>
    </w:div>
    <w:div w:id="988628877">
      <w:bodyDiv w:val="1"/>
      <w:marLeft w:val="0"/>
      <w:marRight w:val="0"/>
      <w:marTop w:val="0"/>
      <w:marBottom w:val="0"/>
      <w:divBdr>
        <w:top w:val="none" w:sz="0" w:space="0" w:color="auto"/>
        <w:left w:val="none" w:sz="0" w:space="0" w:color="auto"/>
        <w:bottom w:val="none" w:sz="0" w:space="0" w:color="auto"/>
        <w:right w:val="none" w:sz="0" w:space="0" w:color="auto"/>
      </w:divBdr>
    </w:div>
    <w:div w:id="1056396148">
      <w:bodyDiv w:val="1"/>
      <w:marLeft w:val="0"/>
      <w:marRight w:val="0"/>
      <w:marTop w:val="0"/>
      <w:marBottom w:val="0"/>
      <w:divBdr>
        <w:top w:val="none" w:sz="0" w:space="0" w:color="auto"/>
        <w:left w:val="none" w:sz="0" w:space="0" w:color="auto"/>
        <w:bottom w:val="none" w:sz="0" w:space="0" w:color="auto"/>
        <w:right w:val="none" w:sz="0" w:space="0" w:color="auto"/>
      </w:divBdr>
    </w:div>
    <w:div w:id="1101026320">
      <w:bodyDiv w:val="1"/>
      <w:marLeft w:val="0"/>
      <w:marRight w:val="0"/>
      <w:marTop w:val="0"/>
      <w:marBottom w:val="0"/>
      <w:divBdr>
        <w:top w:val="none" w:sz="0" w:space="0" w:color="auto"/>
        <w:left w:val="none" w:sz="0" w:space="0" w:color="auto"/>
        <w:bottom w:val="none" w:sz="0" w:space="0" w:color="auto"/>
        <w:right w:val="none" w:sz="0" w:space="0" w:color="auto"/>
      </w:divBdr>
      <w:divsChild>
        <w:div w:id="1905525388">
          <w:marLeft w:val="-720"/>
          <w:marRight w:val="0"/>
          <w:marTop w:val="0"/>
          <w:marBottom w:val="0"/>
          <w:divBdr>
            <w:top w:val="none" w:sz="0" w:space="0" w:color="auto"/>
            <w:left w:val="none" w:sz="0" w:space="0" w:color="auto"/>
            <w:bottom w:val="none" w:sz="0" w:space="0" w:color="auto"/>
            <w:right w:val="none" w:sz="0" w:space="0" w:color="auto"/>
          </w:divBdr>
        </w:div>
      </w:divsChild>
    </w:div>
    <w:div w:id="1382512552">
      <w:bodyDiv w:val="1"/>
      <w:marLeft w:val="0"/>
      <w:marRight w:val="0"/>
      <w:marTop w:val="0"/>
      <w:marBottom w:val="0"/>
      <w:divBdr>
        <w:top w:val="none" w:sz="0" w:space="0" w:color="auto"/>
        <w:left w:val="none" w:sz="0" w:space="0" w:color="auto"/>
        <w:bottom w:val="none" w:sz="0" w:space="0" w:color="auto"/>
        <w:right w:val="none" w:sz="0" w:space="0" w:color="auto"/>
      </w:divBdr>
    </w:div>
    <w:div w:id="1432355348">
      <w:bodyDiv w:val="1"/>
      <w:marLeft w:val="0"/>
      <w:marRight w:val="0"/>
      <w:marTop w:val="0"/>
      <w:marBottom w:val="0"/>
      <w:divBdr>
        <w:top w:val="none" w:sz="0" w:space="0" w:color="auto"/>
        <w:left w:val="none" w:sz="0" w:space="0" w:color="auto"/>
        <w:bottom w:val="none" w:sz="0" w:space="0" w:color="auto"/>
        <w:right w:val="none" w:sz="0" w:space="0" w:color="auto"/>
      </w:divBdr>
    </w:div>
    <w:div w:id="1486311359">
      <w:bodyDiv w:val="1"/>
      <w:marLeft w:val="0"/>
      <w:marRight w:val="0"/>
      <w:marTop w:val="0"/>
      <w:marBottom w:val="0"/>
      <w:divBdr>
        <w:top w:val="none" w:sz="0" w:space="0" w:color="auto"/>
        <w:left w:val="none" w:sz="0" w:space="0" w:color="auto"/>
        <w:bottom w:val="none" w:sz="0" w:space="0" w:color="auto"/>
        <w:right w:val="none" w:sz="0" w:space="0" w:color="auto"/>
      </w:divBdr>
    </w:div>
    <w:div w:id="1505045314">
      <w:bodyDiv w:val="1"/>
      <w:marLeft w:val="0"/>
      <w:marRight w:val="0"/>
      <w:marTop w:val="0"/>
      <w:marBottom w:val="0"/>
      <w:divBdr>
        <w:top w:val="none" w:sz="0" w:space="0" w:color="auto"/>
        <w:left w:val="none" w:sz="0" w:space="0" w:color="auto"/>
        <w:bottom w:val="none" w:sz="0" w:space="0" w:color="auto"/>
        <w:right w:val="none" w:sz="0" w:space="0" w:color="auto"/>
      </w:divBdr>
    </w:div>
    <w:div w:id="1566645551">
      <w:bodyDiv w:val="1"/>
      <w:marLeft w:val="0"/>
      <w:marRight w:val="0"/>
      <w:marTop w:val="0"/>
      <w:marBottom w:val="0"/>
      <w:divBdr>
        <w:top w:val="none" w:sz="0" w:space="0" w:color="auto"/>
        <w:left w:val="none" w:sz="0" w:space="0" w:color="auto"/>
        <w:bottom w:val="none" w:sz="0" w:space="0" w:color="auto"/>
        <w:right w:val="none" w:sz="0" w:space="0" w:color="auto"/>
      </w:divBdr>
    </w:div>
    <w:div w:id="1836608941">
      <w:bodyDiv w:val="1"/>
      <w:marLeft w:val="0"/>
      <w:marRight w:val="0"/>
      <w:marTop w:val="0"/>
      <w:marBottom w:val="0"/>
      <w:divBdr>
        <w:top w:val="none" w:sz="0" w:space="0" w:color="auto"/>
        <w:left w:val="none" w:sz="0" w:space="0" w:color="auto"/>
        <w:bottom w:val="none" w:sz="0" w:space="0" w:color="auto"/>
        <w:right w:val="none" w:sz="0" w:space="0" w:color="auto"/>
      </w:divBdr>
    </w:div>
    <w:div w:id="1885216039">
      <w:bodyDiv w:val="1"/>
      <w:marLeft w:val="0"/>
      <w:marRight w:val="0"/>
      <w:marTop w:val="0"/>
      <w:marBottom w:val="0"/>
      <w:divBdr>
        <w:top w:val="none" w:sz="0" w:space="0" w:color="auto"/>
        <w:left w:val="none" w:sz="0" w:space="0" w:color="auto"/>
        <w:bottom w:val="none" w:sz="0" w:space="0" w:color="auto"/>
        <w:right w:val="none" w:sz="0" w:space="0" w:color="auto"/>
      </w:divBdr>
      <w:divsChild>
        <w:div w:id="41143916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2026-01-29T22:29:00Z</dcterms:created>
  <dcterms:modified xsi:type="dcterms:W3CDTF">2026-02-02T00:21:00Z</dcterms:modified>
</cp:coreProperties>
</file>